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B8" w:rsidRPr="00FA177E" w:rsidRDefault="00C93FB8" w:rsidP="00FA177E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 w:rsidRPr="00FA177E">
        <w:rPr>
          <w:rFonts w:ascii="標楷體" w:eastAsia="標楷體" w:hAnsi="標楷體" w:hint="eastAsia"/>
          <w:b/>
          <w:sz w:val="36"/>
          <w:szCs w:val="28"/>
        </w:rPr>
        <w:t>114年學術研究機構環境保護稽查專案</w:t>
      </w:r>
    </w:p>
    <w:p w:rsidR="00C93FB8" w:rsidRPr="00FA177E" w:rsidRDefault="00C93FB8" w:rsidP="00FA177E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 w:rsidRPr="00FA177E">
        <w:rPr>
          <w:rFonts w:ascii="標楷體" w:eastAsia="標楷體" w:hAnsi="標楷體" w:hint="eastAsia"/>
          <w:b/>
          <w:sz w:val="36"/>
          <w:szCs w:val="28"/>
        </w:rPr>
        <w:t>毒性及關注化學</w:t>
      </w:r>
      <w:r w:rsidR="00FA177E">
        <w:rPr>
          <w:rFonts w:ascii="標楷體" w:eastAsia="標楷體" w:hAnsi="標楷體" w:hint="eastAsia"/>
          <w:b/>
          <w:sz w:val="36"/>
          <w:szCs w:val="28"/>
        </w:rPr>
        <w:t>物質</w:t>
      </w:r>
      <w:r w:rsidR="00874031">
        <w:rPr>
          <w:rFonts w:ascii="標楷體" w:eastAsia="標楷體" w:hAnsi="標楷體" w:hint="eastAsia"/>
          <w:b/>
          <w:sz w:val="36"/>
          <w:szCs w:val="28"/>
        </w:rPr>
        <w:t>運作場所自我檢查</w:t>
      </w:r>
      <w:bookmarkStart w:id="0" w:name="_GoBack"/>
      <w:bookmarkEnd w:id="0"/>
      <w:r w:rsidRPr="00FA177E">
        <w:rPr>
          <w:rFonts w:ascii="標楷體" w:eastAsia="標楷體" w:hAnsi="標楷體" w:hint="eastAsia"/>
          <w:b/>
          <w:sz w:val="36"/>
          <w:szCs w:val="28"/>
        </w:rPr>
        <w:t>表</w:t>
      </w:r>
    </w:p>
    <w:p w:rsidR="00891F41" w:rsidRDefault="00C93FB8" w:rsidP="00C93FB8">
      <w:pPr>
        <w:rPr>
          <w:rFonts w:ascii="標楷體" w:eastAsia="標楷體" w:hAnsi="標楷體"/>
          <w:sz w:val="28"/>
          <w:szCs w:val="28"/>
        </w:rPr>
      </w:pPr>
      <w:r w:rsidRPr="00C93FB8">
        <w:rPr>
          <w:rFonts w:ascii="標楷體" w:eastAsia="標楷體" w:hAnsi="標楷體" w:hint="eastAsia"/>
          <w:sz w:val="28"/>
          <w:szCs w:val="28"/>
        </w:rPr>
        <w:t>環境部</w:t>
      </w:r>
      <w:r w:rsidR="00FA177E">
        <w:rPr>
          <w:rFonts w:ascii="標楷體" w:eastAsia="標楷體" w:hAnsi="標楷體" w:hint="eastAsia"/>
          <w:sz w:val="28"/>
          <w:szCs w:val="28"/>
        </w:rPr>
        <w:t>化學</w:t>
      </w:r>
      <w:r w:rsidRPr="00C93FB8">
        <w:rPr>
          <w:rFonts w:ascii="標楷體" w:eastAsia="標楷體" w:hAnsi="標楷體" w:hint="eastAsia"/>
          <w:sz w:val="28"/>
          <w:szCs w:val="28"/>
        </w:rPr>
        <w:t>署</w:t>
      </w:r>
      <w:r w:rsidR="00FA177E">
        <w:rPr>
          <w:rFonts w:ascii="標楷體" w:eastAsia="標楷體" w:hAnsi="標楷體" w:hint="eastAsia"/>
          <w:sz w:val="28"/>
          <w:szCs w:val="28"/>
        </w:rPr>
        <w:t>到校</w:t>
      </w:r>
      <w:r w:rsidRPr="00C93FB8">
        <w:rPr>
          <w:rFonts w:ascii="標楷體" w:eastAsia="標楷體" w:hAnsi="標楷體" w:hint="eastAsia"/>
          <w:sz w:val="28"/>
          <w:szCs w:val="28"/>
        </w:rPr>
        <w:t>執行</w:t>
      </w:r>
      <w:r w:rsidR="00FA177E">
        <w:rPr>
          <w:rFonts w:ascii="標楷體" w:eastAsia="標楷體" w:hAnsi="標楷體" w:hint="eastAsia"/>
          <w:sz w:val="28"/>
          <w:szCs w:val="28"/>
        </w:rPr>
        <w:t>稽查</w:t>
      </w:r>
      <w:r w:rsidRPr="00C93FB8">
        <w:rPr>
          <w:rFonts w:ascii="標楷體" w:eastAsia="標楷體" w:hAnsi="標楷體" w:hint="eastAsia"/>
          <w:sz w:val="28"/>
          <w:szCs w:val="28"/>
        </w:rPr>
        <w:t>期程：自114年6月1日起至114年8月31日止。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728"/>
        <w:gridCol w:w="3302"/>
        <w:gridCol w:w="1486"/>
        <w:gridCol w:w="425"/>
        <w:gridCol w:w="3119"/>
      </w:tblGrid>
      <w:tr w:rsidR="00C93FB8" w:rsidRPr="00C93FB8" w:rsidTr="00C93FB8">
        <w:tc>
          <w:tcPr>
            <w:tcW w:w="1728" w:type="dxa"/>
          </w:tcPr>
          <w:p w:rsidR="00C93FB8" w:rsidRPr="00C93FB8" w:rsidRDefault="00C93FB8" w:rsidP="00C93F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實驗室編號</w:t>
            </w:r>
          </w:p>
        </w:tc>
        <w:tc>
          <w:tcPr>
            <w:tcW w:w="3302" w:type="dxa"/>
          </w:tcPr>
          <w:p w:rsidR="00C93FB8" w:rsidRPr="00C93FB8" w:rsidRDefault="00C93FB8" w:rsidP="00C93F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gridSpan w:val="2"/>
          </w:tcPr>
          <w:p w:rsidR="00C93FB8" w:rsidRPr="00C93FB8" w:rsidRDefault="00C93FB8" w:rsidP="00C93F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實驗室負責人</w:t>
            </w:r>
          </w:p>
        </w:tc>
        <w:tc>
          <w:tcPr>
            <w:tcW w:w="3119" w:type="dxa"/>
          </w:tcPr>
          <w:p w:rsidR="00C93FB8" w:rsidRPr="00C93FB8" w:rsidRDefault="00C93FB8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6D7" w:rsidRPr="00C93FB8" w:rsidTr="00846F3C">
        <w:tc>
          <w:tcPr>
            <w:tcW w:w="1728" w:type="dxa"/>
          </w:tcPr>
          <w:p w:rsidR="002436D7" w:rsidRDefault="002436D7" w:rsidP="002436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目前運作</w:t>
            </w:r>
          </w:p>
          <w:p w:rsidR="002436D7" w:rsidRDefault="002436D7" w:rsidP="002436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毒化物種類</w:t>
            </w:r>
          </w:p>
        </w:tc>
        <w:tc>
          <w:tcPr>
            <w:tcW w:w="8332" w:type="dxa"/>
            <w:gridSpan w:val="4"/>
          </w:tcPr>
          <w:p w:rsidR="002436D7" w:rsidRPr="00C93FB8" w:rsidRDefault="002436D7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儲存量共計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C93FB8" w:rsidRPr="00C93FB8" w:rsidTr="00C93FB8">
        <w:tc>
          <w:tcPr>
            <w:tcW w:w="6516" w:type="dxa"/>
            <w:gridSpan w:val="3"/>
          </w:tcPr>
          <w:p w:rsidR="00C93FB8" w:rsidRPr="00C93FB8" w:rsidRDefault="00C93FB8" w:rsidP="000B59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3544" w:type="dxa"/>
            <w:gridSpan w:val="2"/>
          </w:tcPr>
          <w:p w:rsidR="00C93FB8" w:rsidRPr="00C93FB8" w:rsidRDefault="00C93FB8" w:rsidP="000B59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自我檢核結果</w:t>
            </w:r>
          </w:p>
        </w:tc>
      </w:tr>
      <w:tr w:rsidR="00C93FB8" w:rsidRPr="00C93FB8" w:rsidTr="00C93FB8">
        <w:tc>
          <w:tcPr>
            <w:tcW w:w="6516" w:type="dxa"/>
            <w:gridSpan w:val="3"/>
          </w:tcPr>
          <w:p w:rsidR="00C93FB8" w:rsidRPr="00C93FB8" w:rsidRDefault="00C93FB8" w:rsidP="00C93FB8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是否依毒性及關注化學物質運作與釋放量紀錄管理辦法規定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運作紀錄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(購買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儲存)</w:t>
            </w:r>
            <w:r w:rsidR="000B595F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</w:p>
        </w:tc>
        <w:tc>
          <w:tcPr>
            <w:tcW w:w="3544" w:type="dxa"/>
            <w:gridSpan w:val="2"/>
          </w:tcPr>
          <w:p w:rsidR="00C93FB8" w:rsidRPr="00C93FB8" w:rsidRDefault="00C93FB8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0B595F" w:rsidRPr="00C93FB8" w:rsidTr="00C93FB8">
        <w:tc>
          <w:tcPr>
            <w:tcW w:w="6516" w:type="dxa"/>
            <w:gridSpan w:val="3"/>
          </w:tcPr>
          <w:p w:rsidR="000B595F" w:rsidRDefault="000B595F" w:rsidP="000B595F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毒化物</w:t>
            </w:r>
            <w:r w:rsidRPr="000B595F">
              <w:rPr>
                <w:rFonts w:ascii="標楷體" w:eastAsia="標楷體" w:hAnsi="標楷體" w:hint="eastAsia"/>
                <w:sz w:val="28"/>
                <w:szCs w:val="28"/>
              </w:rPr>
              <w:t>儲存量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(瓶數/重量)</w:t>
            </w:r>
            <w:r w:rsidRPr="000B595F">
              <w:rPr>
                <w:rFonts w:ascii="標楷體" w:eastAsia="標楷體" w:hAnsi="標楷體" w:hint="eastAsia"/>
                <w:sz w:val="28"/>
                <w:szCs w:val="28"/>
              </w:rPr>
              <w:t>、購買紀錄與教育部化學品管理系統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 w:rsidRPr="000B595F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相符合</w:t>
            </w:r>
            <w:r w:rsidRPr="000B595F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3544" w:type="dxa"/>
            <w:gridSpan w:val="2"/>
          </w:tcPr>
          <w:p w:rsidR="000B595F" w:rsidRPr="00C93FB8" w:rsidRDefault="000B595F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31346F" w:rsidRPr="00C93FB8" w:rsidTr="00C93FB8">
        <w:tc>
          <w:tcPr>
            <w:tcW w:w="6516" w:type="dxa"/>
            <w:gridSpan w:val="3"/>
          </w:tcPr>
          <w:p w:rsidR="0031346F" w:rsidRDefault="0031346F" w:rsidP="0031346F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三年內購買毒性或關注化學物質廠商送貨簡易運送表單是否妥善</w:t>
            </w:r>
            <w:r w:rsidRPr="0031346F">
              <w:rPr>
                <w:rFonts w:ascii="標楷體" w:eastAsia="標楷體" w:hAnsi="標楷體" w:hint="eastAsia"/>
                <w:sz w:val="28"/>
                <w:szCs w:val="28"/>
              </w:rPr>
              <w:t>保存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3544" w:type="dxa"/>
            <w:gridSpan w:val="2"/>
          </w:tcPr>
          <w:p w:rsidR="0031346F" w:rsidRPr="00C93FB8" w:rsidRDefault="002436D7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C93FB8" w:rsidRPr="00C93FB8" w:rsidTr="00C93FB8">
        <w:tc>
          <w:tcPr>
            <w:tcW w:w="6516" w:type="dxa"/>
            <w:gridSpan w:val="3"/>
          </w:tcPr>
          <w:p w:rsidR="00C93FB8" w:rsidRDefault="0031346F" w:rsidP="00C93FB8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C93FB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7829E9" w:rsidRPr="007829E9">
              <w:rPr>
                <w:rFonts w:ascii="標楷體" w:eastAsia="標楷體" w:hAnsi="標楷體" w:hint="eastAsia"/>
                <w:sz w:val="28"/>
                <w:szCs w:val="28"/>
              </w:rPr>
              <w:t>運作場所及設施</w:t>
            </w:r>
            <w:r w:rsidR="000B595F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7829E9" w:rsidRPr="007829E9">
              <w:rPr>
                <w:rFonts w:ascii="標楷體" w:eastAsia="標楷體" w:hAnsi="標楷體" w:hint="eastAsia"/>
                <w:sz w:val="28"/>
                <w:szCs w:val="28"/>
              </w:rPr>
              <w:t>設置公告版摘要標示</w:t>
            </w:r>
            <w:r w:rsidR="000B595F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7829E9" w:rsidRPr="007829E9" w:rsidRDefault="007829E9" w:rsidP="000B595F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B595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入口標示</w:t>
            </w:r>
            <w:r w:rsidR="000B595F" w:rsidRPr="000B595F">
              <w:rPr>
                <w:rFonts w:ascii="Microsoft JhengHei UI" w:eastAsia="Microsoft JhengHei UI" w:hAnsi="Microsoft JhengHei UI" w:hint="eastAsia"/>
                <w:color w:val="0000FF"/>
                <w:sz w:val="28"/>
                <w:szCs w:val="28"/>
              </w:rPr>
              <w:t>：</w:t>
            </w:r>
            <w:r w:rsidR="000B595F" w:rsidRPr="000B595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「毒性及關注化學物質運作場所(Handling Premises of Toxic and concerned Chemicals)」</w:t>
            </w:r>
            <w:r w:rsidR="000B595F" w:rsidRPr="000B595F">
              <w:rPr>
                <w:rFonts w:ascii="標楷體" w:eastAsia="標楷體" w:hAnsi="標楷體" w:hint="eastAsia"/>
                <w:sz w:val="28"/>
                <w:szCs w:val="28"/>
              </w:rPr>
              <w:t>中英文字樣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gridSpan w:val="2"/>
          </w:tcPr>
          <w:p w:rsidR="00C93FB8" w:rsidRPr="00C93FB8" w:rsidRDefault="00C93FB8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C93FB8" w:rsidRPr="00C93FB8" w:rsidTr="00C93FB8">
        <w:tc>
          <w:tcPr>
            <w:tcW w:w="6516" w:type="dxa"/>
            <w:gridSpan w:val="3"/>
          </w:tcPr>
          <w:p w:rsidR="00C93FB8" w:rsidRPr="00C93FB8" w:rsidRDefault="0031346F" w:rsidP="00C93FB8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7829E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B595F">
              <w:rPr>
                <w:rFonts w:ascii="標楷體" w:eastAsia="標楷體" w:hAnsi="標楷體" w:hint="eastAsia"/>
                <w:sz w:val="28"/>
                <w:szCs w:val="28"/>
              </w:rPr>
              <w:t>毒性及關注化學物質容器包裝是否</w:t>
            </w:r>
            <w:r w:rsidR="007829E9" w:rsidRPr="007829E9">
              <w:rPr>
                <w:rFonts w:ascii="標楷體" w:eastAsia="標楷體" w:hAnsi="標楷體" w:hint="eastAsia"/>
                <w:sz w:val="28"/>
                <w:szCs w:val="28"/>
              </w:rPr>
              <w:t>標示</w:t>
            </w:r>
            <w:r w:rsidR="000B595F" w:rsidRPr="000B595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符合現行規定</w:t>
            </w:r>
            <w:r w:rsidR="000B595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7829E9" w:rsidRPr="007829E9">
              <w:rPr>
                <w:rFonts w:ascii="標楷體" w:eastAsia="標楷體" w:hAnsi="標楷體" w:hint="eastAsia"/>
                <w:sz w:val="28"/>
                <w:szCs w:val="28"/>
              </w:rPr>
              <w:t>危害圖式、名稱、危害成分、警示語、危害警告訊息等資料。</w:t>
            </w:r>
          </w:p>
        </w:tc>
        <w:tc>
          <w:tcPr>
            <w:tcW w:w="3544" w:type="dxa"/>
            <w:gridSpan w:val="2"/>
          </w:tcPr>
          <w:p w:rsidR="00C93FB8" w:rsidRPr="00C93FB8" w:rsidRDefault="00C93FB8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0B595F" w:rsidRPr="00C93FB8" w:rsidTr="00C93FB8">
        <w:tc>
          <w:tcPr>
            <w:tcW w:w="6516" w:type="dxa"/>
            <w:gridSpan w:val="3"/>
          </w:tcPr>
          <w:p w:rsidR="000B595F" w:rsidRPr="000B595F" w:rsidRDefault="0031346F" w:rsidP="000B595F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0B595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B595F" w:rsidRPr="000B595F">
              <w:rPr>
                <w:rFonts w:ascii="標楷體" w:eastAsia="標楷體" w:hAnsi="標楷體" w:hint="eastAsia"/>
                <w:sz w:val="28"/>
                <w:szCs w:val="28"/>
              </w:rPr>
              <w:t>容器、包裝標示尺寸應符合下列規定：</w:t>
            </w:r>
          </w:p>
          <w:p w:rsidR="000B595F" w:rsidRPr="003F28AF" w:rsidRDefault="000B595F" w:rsidP="003F28AF">
            <w:pPr>
              <w:snapToGrid w:val="0"/>
              <w:spacing w:line="240" w:lineRule="atLeast"/>
              <w:ind w:leftChars="100" w:left="800" w:hangingChars="200" w:hanging="560"/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</w:pPr>
            <w:r w:rsidRPr="003F28A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一、容積未超過三公升者，不得小於五十二毫米乘以七十四毫米。</w:t>
            </w:r>
          </w:p>
          <w:p w:rsidR="000B595F" w:rsidRPr="003F28AF" w:rsidRDefault="000B595F" w:rsidP="003F28AF">
            <w:pPr>
              <w:snapToGrid w:val="0"/>
              <w:spacing w:line="240" w:lineRule="atLeast"/>
              <w:ind w:leftChars="100" w:left="800" w:hangingChars="200" w:hanging="560"/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</w:pPr>
            <w:r w:rsidRPr="003F28A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二、容積超過三公升而未超過五十公升者，不得小於七十四毫米乘以一百零五毫米。</w:t>
            </w:r>
          </w:p>
          <w:p w:rsidR="000B595F" w:rsidRPr="000B595F" w:rsidRDefault="000B595F" w:rsidP="003F28AF">
            <w:pPr>
              <w:snapToGrid w:val="0"/>
              <w:spacing w:line="240" w:lineRule="atLeast"/>
              <w:ind w:leftChars="100" w:left="80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B595F">
              <w:rPr>
                <w:rFonts w:ascii="標楷體" w:eastAsia="標楷體" w:hAnsi="標楷體" w:hint="eastAsia"/>
                <w:sz w:val="28"/>
                <w:szCs w:val="28"/>
              </w:rPr>
              <w:t>三、容積超過五十公升而未超過五百公升者，不得小於一百零五毫米乘以一百四十八毫米。</w:t>
            </w:r>
          </w:p>
          <w:p w:rsidR="000B595F" w:rsidRPr="000B595F" w:rsidRDefault="000B595F" w:rsidP="003F28AF">
            <w:pPr>
              <w:snapToGrid w:val="0"/>
              <w:spacing w:line="240" w:lineRule="atLeast"/>
              <w:ind w:leftChars="100" w:left="80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B595F">
              <w:rPr>
                <w:rFonts w:ascii="標楷體" w:eastAsia="標楷體" w:hAnsi="標楷體" w:hint="eastAsia"/>
                <w:sz w:val="28"/>
                <w:szCs w:val="28"/>
              </w:rPr>
              <w:t>四、容積超過五百公升者，不得小於一百四十八毫米乘以二百一十毫米。</w:t>
            </w:r>
          </w:p>
          <w:p w:rsidR="000B595F" w:rsidRDefault="000B595F" w:rsidP="003F28AF">
            <w:pPr>
              <w:snapToGrid w:val="0"/>
              <w:spacing w:line="24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B595F">
              <w:rPr>
                <w:rFonts w:ascii="標楷體" w:eastAsia="標楷體" w:hAnsi="標楷體" w:hint="eastAsia"/>
                <w:sz w:val="28"/>
                <w:szCs w:val="28"/>
              </w:rPr>
              <w:t>毒性及關注化學物質之容器、包裝，因面積、外型或材質等特殊因素，致依前條規定標示顯有困難者，得使用折疊式標籤、懸掛式標籤或外包裝標示等顯著方式代之，並附於容器、包裝上，標示尺寸不受前項規定之限制。</w:t>
            </w:r>
          </w:p>
        </w:tc>
        <w:tc>
          <w:tcPr>
            <w:tcW w:w="3544" w:type="dxa"/>
            <w:gridSpan w:val="2"/>
          </w:tcPr>
          <w:p w:rsidR="000B595F" w:rsidRPr="00C93FB8" w:rsidRDefault="00FE5A32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3F28AF" w:rsidRPr="003F28AF" w:rsidTr="00C93FB8">
        <w:tc>
          <w:tcPr>
            <w:tcW w:w="6516" w:type="dxa"/>
            <w:gridSpan w:val="3"/>
          </w:tcPr>
          <w:p w:rsidR="003F28AF" w:rsidRDefault="0031346F" w:rsidP="003F28AF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7</w:t>
            </w:r>
            <w:r w:rsidR="003F28A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容器應逐一標示</w:t>
            </w:r>
            <w:r w:rsidR="003F28A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維持標示內容清晰、完整。</w:t>
            </w:r>
          </w:p>
        </w:tc>
        <w:tc>
          <w:tcPr>
            <w:tcW w:w="3544" w:type="dxa"/>
            <w:gridSpan w:val="2"/>
          </w:tcPr>
          <w:p w:rsidR="003F28AF" w:rsidRPr="00C93FB8" w:rsidRDefault="00FE5A32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3F28AF" w:rsidRPr="003F28AF" w:rsidTr="00C93FB8">
        <w:tc>
          <w:tcPr>
            <w:tcW w:w="6516" w:type="dxa"/>
            <w:gridSpan w:val="3"/>
          </w:tcPr>
          <w:p w:rsidR="003F28AF" w:rsidRDefault="0031346F" w:rsidP="002436D7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28A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分裝之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毒性及關注化學物質之容器、包裝，</w:t>
            </w:r>
            <w:r w:rsidR="002436D7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僅供當</w:t>
            </w:r>
            <w:r w:rsidR="002436D7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立即使用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3F28A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仍需依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規定標示。</w:t>
            </w:r>
          </w:p>
        </w:tc>
        <w:tc>
          <w:tcPr>
            <w:tcW w:w="3544" w:type="dxa"/>
            <w:gridSpan w:val="2"/>
          </w:tcPr>
          <w:p w:rsidR="003F28AF" w:rsidRPr="00C93FB8" w:rsidRDefault="00FE5A32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3F28AF" w:rsidRPr="003F28AF" w:rsidTr="00C93FB8">
        <w:tc>
          <w:tcPr>
            <w:tcW w:w="6516" w:type="dxa"/>
            <w:gridSpan w:val="3"/>
          </w:tcPr>
          <w:p w:rsidR="003F28AF" w:rsidRDefault="0031346F" w:rsidP="003F28AF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28A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分裝之容積在一百毫升以下者</w:t>
            </w:r>
            <w:r w:rsidR="003F28A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至少需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標示</w:t>
            </w:r>
            <w:r w:rsidR="003F28A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「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名稱、危害圖式及警示語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544" w:type="dxa"/>
            <w:gridSpan w:val="2"/>
          </w:tcPr>
          <w:p w:rsidR="003F28AF" w:rsidRPr="00C93FB8" w:rsidRDefault="00FE5A32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C93FB8" w:rsidRPr="00C93FB8" w:rsidTr="00C93FB8">
        <w:tc>
          <w:tcPr>
            <w:tcW w:w="6516" w:type="dxa"/>
            <w:gridSpan w:val="3"/>
          </w:tcPr>
          <w:p w:rsidR="00C93FB8" w:rsidRPr="00C93FB8" w:rsidRDefault="0031346F" w:rsidP="002436D7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7829E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7829E9" w:rsidRPr="007829E9">
              <w:rPr>
                <w:rFonts w:ascii="標楷體" w:eastAsia="標楷體" w:hAnsi="標楷體" w:hint="eastAsia"/>
                <w:sz w:val="28"/>
                <w:szCs w:val="28"/>
              </w:rPr>
              <w:t>備具毒性或關注化學物質安全資料表</w:t>
            </w:r>
            <w:r w:rsidR="000B595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至少每</w:t>
            </w:r>
            <w:r w:rsidR="003F28A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F28AF" w:rsidRPr="003F28AF">
              <w:rPr>
                <w:rFonts w:ascii="標楷體" w:eastAsia="標楷體" w:hAnsi="標楷體" w:hint="eastAsia"/>
                <w:sz w:val="28"/>
                <w:szCs w:val="28"/>
              </w:rPr>
              <w:t>年檢討一次</w:t>
            </w:r>
            <w:r w:rsidR="000B59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F28AF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</w:p>
        </w:tc>
        <w:tc>
          <w:tcPr>
            <w:tcW w:w="3544" w:type="dxa"/>
            <w:gridSpan w:val="2"/>
          </w:tcPr>
          <w:p w:rsidR="00C93FB8" w:rsidRPr="00C93FB8" w:rsidRDefault="00C93FB8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3F28AF" w:rsidRPr="00C93FB8" w:rsidTr="00C93FB8">
        <w:tc>
          <w:tcPr>
            <w:tcW w:w="6516" w:type="dxa"/>
            <w:gridSpan w:val="3"/>
          </w:tcPr>
          <w:p w:rsidR="003F28AF" w:rsidRDefault="003F28AF" w:rsidP="003F28AF">
            <w:pPr>
              <w:snapToGrid w:val="0"/>
              <w:spacing w:line="24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346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28AF">
              <w:rPr>
                <w:rFonts w:ascii="標楷體" w:eastAsia="標楷體" w:hAnsi="標楷體" w:hint="eastAsia"/>
                <w:sz w:val="28"/>
                <w:szCs w:val="28"/>
              </w:rPr>
              <w:t>毒性及關注化學物質安全資料表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可否置於運作場所中易取得之處?</w:t>
            </w:r>
          </w:p>
        </w:tc>
        <w:tc>
          <w:tcPr>
            <w:tcW w:w="3544" w:type="dxa"/>
            <w:gridSpan w:val="2"/>
          </w:tcPr>
          <w:p w:rsidR="003F28AF" w:rsidRPr="00C93FB8" w:rsidRDefault="00FE5A32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C93FB8" w:rsidRPr="00C93FB8" w:rsidTr="00C93FB8">
        <w:tc>
          <w:tcPr>
            <w:tcW w:w="6516" w:type="dxa"/>
            <w:gridSpan w:val="3"/>
          </w:tcPr>
          <w:p w:rsidR="00C93FB8" w:rsidRPr="00C93FB8" w:rsidRDefault="0031346F" w:rsidP="0031346F">
            <w:pPr>
              <w:snapToGrid w:val="0"/>
              <w:spacing w:line="24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應變器材是否有過期或損壞?</w:t>
            </w:r>
          </w:p>
        </w:tc>
        <w:tc>
          <w:tcPr>
            <w:tcW w:w="3544" w:type="dxa"/>
            <w:gridSpan w:val="2"/>
          </w:tcPr>
          <w:p w:rsidR="00C93FB8" w:rsidRPr="00C93FB8" w:rsidRDefault="00C93FB8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31346F" w:rsidRPr="00C93FB8" w:rsidTr="00C93FB8">
        <w:tc>
          <w:tcPr>
            <w:tcW w:w="6516" w:type="dxa"/>
            <w:gridSpan w:val="3"/>
          </w:tcPr>
          <w:p w:rsidR="0031346F" w:rsidRDefault="0031346F" w:rsidP="0031346F">
            <w:pPr>
              <w:snapToGrid w:val="0"/>
              <w:spacing w:line="24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應變器材是否有定期清點檢查紀錄?</w:t>
            </w:r>
          </w:p>
        </w:tc>
        <w:tc>
          <w:tcPr>
            <w:tcW w:w="3544" w:type="dxa"/>
            <w:gridSpan w:val="2"/>
          </w:tcPr>
          <w:p w:rsidR="0031346F" w:rsidRPr="00C93FB8" w:rsidRDefault="00FE5A32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31346F" w:rsidRPr="00C93FB8" w:rsidTr="00C93FB8">
        <w:tc>
          <w:tcPr>
            <w:tcW w:w="6516" w:type="dxa"/>
            <w:gridSpan w:val="3"/>
          </w:tcPr>
          <w:p w:rsidR="0031346F" w:rsidRPr="0031346F" w:rsidRDefault="0031346F" w:rsidP="0031346F">
            <w:pPr>
              <w:snapToGrid w:val="0"/>
              <w:spacing w:line="24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31346F">
              <w:rPr>
                <w:rFonts w:ascii="標楷體" w:eastAsia="標楷體" w:hAnsi="標楷體" w:hint="eastAsia"/>
                <w:sz w:val="28"/>
                <w:szCs w:val="28"/>
              </w:rPr>
              <w:t>運作</w:t>
            </w:r>
            <w:r w:rsidRPr="00FE5A3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孔雀綠、順丁烯二酸、順丁烯二酸酐、對位乙氧基苯脲、溴酸鉀、富馬酸二甲酯、芐基紫、皂黃、玫瑰紅B、二甲基黃、甲醛次硫酸氫鈉、三聚氰胺、α</w:t>
            </w:r>
            <w:r w:rsidRPr="00FE5A3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-</w:t>
            </w:r>
            <w:r w:rsidRPr="00FE5A3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苯並吡喃酮</w:t>
            </w:r>
            <w:r w:rsidRPr="0031346F">
              <w:rPr>
                <w:rFonts w:ascii="標楷體" w:eastAsia="標楷體" w:hAnsi="標楷體" w:hint="eastAsia"/>
                <w:sz w:val="28"/>
                <w:szCs w:val="28"/>
              </w:rPr>
              <w:t>，除依「毒性及關注化學物質標示與安全資料表管理辦法」規定辦理外，並於容器或外包裝明顯處依下列規定為之：</w:t>
            </w:r>
          </w:p>
          <w:p w:rsidR="0031346F" w:rsidRPr="00FE5A32" w:rsidRDefault="0031346F" w:rsidP="00FE5A32">
            <w:pPr>
              <w:snapToGrid w:val="0"/>
              <w:spacing w:line="240" w:lineRule="atLeast"/>
              <w:ind w:leftChars="150" w:left="921" w:hangingChars="200" w:hanging="561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E5A3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(一)以中文記明</w:t>
            </w:r>
            <w:r w:rsidRPr="00FE5A3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「禁止用於食品」</w:t>
            </w:r>
            <w:r w:rsidRPr="00FE5A3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31346F" w:rsidRPr="00FE5A32" w:rsidRDefault="0031346F" w:rsidP="00FE5A32">
            <w:pPr>
              <w:snapToGrid w:val="0"/>
              <w:spacing w:line="240" w:lineRule="atLeast"/>
              <w:ind w:leftChars="150" w:left="921" w:hangingChars="200" w:hanging="561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E5A3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(二)標示面積不得小於該容器或外包裝面積百分之三十五。</w:t>
            </w:r>
          </w:p>
          <w:p w:rsidR="0031346F" w:rsidRDefault="0031346F" w:rsidP="00FE5A32">
            <w:pPr>
              <w:snapToGrid w:val="0"/>
              <w:spacing w:line="240" w:lineRule="atLeast"/>
              <w:ind w:leftChars="150" w:left="92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FE5A3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(三)標示文字顏色與底色互為對比。</w:t>
            </w:r>
          </w:p>
        </w:tc>
        <w:tc>
          <w:tcPr>
            <w:tcW w:w="3544" w:type="dxa"/>
            <w:gridSpan w:val="2"/>
          </w:tcPr>
          <w:p w:rsidR="0031346F" w:rsidRPr="00C93FB8" w:rsidRDefault="00FE5A32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  <w:tr w:rsidR="0031346F" w:rsidRPr="00C93FB8" w:rsidTr="00C93FB8">
        <w:tc>
          <w:tcPr>
            <w:tcW w:w="6516" w:type="dxa"/>
            <w:gridSpan w:val="3"/>
          </w:tcPr>
          <w:p w:rsidR="00FE5A32" w:rsidRPr="00FE5A32" w:rsidRDefault="00FE5A32" w:rsidP="00FE5A32">
            <w:pPr>
              <w:snapToGrid w:val="0"/>
              <w:spacing w:line="24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FE5A32">
              <w:rPr>
                <w:rFonts w:ascii="標楷體" w:eastAsia="標楷體" w:hAnsi="標楷體" w:hint="eastAsia"/>
                <w:sz w:val="28"/>
                <w:szCs w:val="28"/>
              </w:rPr>
              <w:t>運作</w:t>
            </w:r>
            <w:r w:rsidRPr="00FE5A3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蘇丹1號、蘇丹2號、蘇丹3號、蘇丹4號、蘇丹紅G、蘇丹橙G、蘇丹黑B、蘇丹紅7B、二乙基黃、王金黃（塊黃）、鹽基性芥黃、紅色2號、氮紅、橘色2號</w:t>
            </w:r>
            <w:r w:rsidRPr="00FE5A32">
              <w:rPr>
                <w:rFonts w:ascii="標楷體" w:eastAsia="標楷體" w:hAnsi="標楷體" w:hint="eastAsia"/>
                <w:sz w:val="28"/>
                <w:szCs w:val="28"/>
              </w:rPr>
              <w:t>，除依毒性及關注化學物質標示與安全資料表管理辦法規定辦理外，並於容器或外包裝明顯處依下列規定為之依下列規定為之：</w:t>
            </w:r>
          </w:p>
          <w:p w:rsidR="00FE5A32" w:rsidRPr="00FE5A32" w:rsidRDefault="00FE5A32" w:rsidP="00FE5A32">
            <w:pPr>
              <w:snapToGrid w:val="0"/>
              <w:spacing w:line="240" w:lineRule="atLeast"/>
              <w:ind w:leftChars="150" w:left="921" w:hangingChars="200" w:hanging="561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E5A3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(一)以中文記明「禁止用於食品及飼料」。</w:t>
            </w:r>
          </w:p>
          <w:p w:rsidR="00FE5A32" w:rsidRDefault="00FE5A32" w:rsidP="00FE5A32">
            <w:pPr>
              <w:snapToGrid w:val="0"/>
              <w:spacing w:line="240" w:lineRule="atLeast"/>
              <w:ind w:leftChars="150" w:left="921" w:hangingChars="200" w:hanging="561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E5A3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(二)標示面積不得小於該容器或外包裝面積百分之三十五。</w:t>
            </w:r>
          </w:p>
          <w:p w:rsidR="0031346F" w:rsidRDefault="00FE5A32" w:rsidP="00FE5A32">
            <w:pPr>
              <w:snapToGrid w:val="0"/>
              <w:spacing w:line="240" w:lineRule="atLeast"/>
              <w:ind w:leftChars="150" w:left="92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FE5A3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(三)標示文字顏色與底色互為對比。</w:t>
            </w:r>
          </w:p>
        </w:tc>
        <w:tc>
          <w:tcPr>
            <w:tcW w:w="3544" w:type="dxa"/>
            <w:gridSpan w:val="2"/>
          </w:tcPr>
          <w:p w:rsidR="0031346F" w:rsidRPr="00C93FB8" w:rsidRDefault="00FE5A32" w:rsidP="00C93F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3FB8">
              <w:rPr>
                <w:rFonts w:ascii="標楷體" w:eastAsia="標楷體" w:hAnsi="標楷體" w:hint="eastAsia"/>
                <w:sz w:val="28"/>
                <w:szCs w:val="28"/>
              </w:rPr>
              <w:t>□符合□未符合□不適用</w:t>
            </w:r>
          </w:p>
        </w:tc>
      </w:tr>
    </w:tbl>
    <w:p w:rsidR="00C93FB8" w:rsidRPr="002436D7" w:rsidRDefault="00FA177E" w:rsidP="00C93FB8">
      <w:pPr>
        <w:rPr>
          <w:rFonts w:ascii="標楷體" w:eastAsia="標楷體" w:hAnsi="標楷體"/>
          <w:sz w:val="28"/>
        </w:rPr>
      </w:pPr>
      <w:r w:rsidRPr="002436D7">
        <w:rPr>
          <w:rFonts w:ascii="標楷體" w:eastAsia="標楷體" w:hAnsi="標楷體" w:hint="eastAsia"/>
          <w:sz w:val="28"/>
        </w:rPr>
        <w:t>檢核人/分機</w:t>
      </w:r>
      <w:r w:rsidR="002436D7">
        <w:rPr>
          <w:rFonts w:ascii="Microsoft JhengHei UI" w:eastAsia="Microsoft JhengHei UI" w:hAnsi="Microsoft JhengHei UI" w:hint="eastAsia"/>
          <w:sz w:val="28"/>
        </w:rPr>
        <w:t>：</w:t>
      </w:r>
      <w:r w:rsidR="002436D7">
        <w:rPr>
          <w:rFonts w:ascii="標楷體" w:eastAsia="標楷體" w:hAnsi="標楷體" w:hint="eastAsia"/>
          <w:sz w:val="28"/>
        </w:rPr>
        <w:t xml:space="preserve"> </w:t>
      </w:r>
      <w:r w:rsidR="002436D7">
        <w:rPr>
          <w:rFonts w:ascii="標楷體" w:eastAsia="標楷體" w:hAnsi="標楷體"/>
          <w:sz w:val="28"/>
        </w:rPr>
        <w:t xml:space="preserve">             </w:t>
      </w:r>
      <w:r w:rsidR="002436D7">
        <w:rPr>
          <w:rFonts w:ascii="標楷體" w:eastAsia="標楷體" w:hAnsi="標楷體" w:hint="eastAsia"/>
          <w:sz w:val="28"/>
        </w:rPr>
        <w:t xml:space="preserve"> </w:t>
      </w:r>
      <w:r w:rsidR="002436D7">
        <w:rPr>
          <w:rFonts w:ascii="標楷體" w:eastAsia="標楷體" w:hAnsi="標楷體"/>
          <w:sz w:val="28"/>
        </w:rPr>
        <w:t xml:space="preserve">   </w:t>
      </w:r>
      <w:r w:rsidR="002436D7">
        <w:rPr>
          <w:rFonts w:ascii="標楷體" w:eastAsia="標楷體" w:hAnsi="標楷體" w:hint="eastAsia"/>
          <w:sz w:val="28"/>
        </w:rPr>
        <w:t>主管</w:t>
      </w:r>
      <w:r w:rsidR="002436D7">
        <w:rPr>
          <w:rFonts w:ascii="Microsoft JhengHei UI" w:eastAsia="Microsoft JhengHei UI" w:hAnsi="Microsoft JhengHei UI" w:hint="eastAsia"/>
          <w:sz w:val="28"/>
        </w:rPr>
        <w:t>：</w:t>
      </w:r>
    </w:p>
    <w:sectPr w:rsidR="00C93FB8" w:rsidRPr="002436D7" w:rsidSect="00C93F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E2" w:rsidRDefault="006308E2" w:rsidP="00874031">
      <w:r>
        <w:separator/>
      </w:r>
    </w:p>
  </w:endnote>
  <w:endnote w:type="continuationSeparator" w:id="0">
    <w:p w:rsidR="006308E2" w:rsidRDefault="006308E2" w:rsidP="0087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E2" w:rsidRDefault="006308E2" w:rsidP="00874031">
      <w:r>
        <w:separator/>
      </w:r>
    </w:p>
  </w:footnote>
  <w:footnote w:type="continuationSeparator" w:id="0">
    <w:p w:rsidR="006308E2" w:rsidRDefault="006308E2" w:rsidP="0087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B8"/>
    <w:rsid w:val="000B595F"/>
    <w:rsid w:val="002436D7"/>
    <w:rsid w:val="0031346F"/>
    <w:rsid w:val="003F28AF"/>
    <w:rsid w:val="006308E2"/>
    <w:rsid w:val="007829E9"/>
    <w:rsid w:val="00874031"/>
    <w:rsid w:val="00891F41"/>
    <w:rsid w:val="00C93FB8"/>
    <w:rsid w:val="00FA177E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B43C7"/>
  <w15:chartTrackingRefBased/>
  <w15:docId w15:val="{626E8225-D906-4F4F-9C35-09FD1C9C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0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0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2025-05-23T07:30:00Z</dcterms:created>
  <dcterms:modified xsi:type="dcterms:W3CDTF">2025-05-23T09:26:00Z</dcterms:modified>
</cp:coreProperties>
</file>